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7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0B8B15EA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71D47477" w14:textId="543D332B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720552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D36761">
        <w:rPr>
          <w:sz w:val="24"/>
          <w:szCs w:val="24"/>
        </w:rPr>
        <w:t>rugsėjo</w:t>
      </w:r>
      <w:r w:rsidR="001D2A20">
        <w:rPr>
          <w:sz w:val="24"/>
          <w:szCs w:val="24"/>
        </w:rPr>
        <w:t xml:space="preserve"> </w:t>
      </w:r>
      <w:r w:rsidR="00716A2F">
        <w:rPr>
          <w:sz w:val="24"/>
          <w:szCs w:val="24"/>
        </w:rPr>
        <w:t>8</w:t>
      </w:r>
      <w:r w:rsidR="00D36761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7E84FDDA" w14:textId="12BBA151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716A2F">
        <w:rPr>
          <w:sz w:val="24"/>
          <w:szCs w:val="24"/>
        </w:rPr>
        <w:t>116</w:t>
      </w:r>
    </w:p>
    <w:p w14:paraId="4F0B8184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07747F65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B48026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4D7E8230" w14:textId="77777777" w:rsidTr="00263915">
        <w:tc>
          <w:tcPr>
            <w:tcW w:w="9708" w:type="dxa"/>
            <w:gridSpan w:val="6"/>
          </w:tcPr>
          <w:p w14:paraId="34904863" w14:textId="77777777" w:rsidR="00D362AA" w:rsidRPr="00D7273A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D7273A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2B13BD88" w14:textId="086FC32B" w:rsidR="00CD63D3" w:rsidRPr="00CD63D3" w:rsidRDefault="00CD63D3" w:rsidP="00CD63D3">
            <w:pPr>
              <w:tabs>
                <w:tab w:val="left" w:pos="720"/>
                <w:tab w:val="left" w:pos="1191"/>
              </w:tabs>
              <w:jc w:val="both"/>
              <w:rPr>
                <w:sz w:val="24"/>
                <w:szCs w:val="24"/>
              </w:rPr>
            </w:pPr>
            <w:bookmarkStart w:id="0" w:name="_Hlk176853851"/>
            <w:r w:rsidRPr="00CD63D3">
              <w:rPr>
                <w:sz w:val="24"/>
                <w:szCs w:val="24"/>
              </w:rPr>
              <w:t xml:space="preserve">Mokykla (unikalus Nr. 8496-4010-1018, bendras plotas 904,11 kv. m), </w:t>
            </w:r>
            <w:r w:rsidR="0022133E">
              <w:rPr>
                <w:sz w:val="24"/>
                <w:szCs w:val="24"/>
              </w:rPr>
              <w:t>Ū</w:t>
            </w:r>
            <w:r w:rsidRPr="00CD63D3">
              <w:rPr>
                <w:sz w:val="24"/>
                <w:szCs w:val="24"/>
              </w:rPr>
              <w:t xml:space="preserve">kinis pastatas (unikalus Nr. 8496-4010-1044, bendras plotas 109,00 kv. m), </w:t>
            </w:r>
            <w:r w:rsidR="0022133E">
              <w:rPr>
                <w:sz w:val="24"/>
                <w:szCs w:val="24"/>
              </w:rPr>
              <w:t>K</w:t>
            </w:r>
            <w:r w:rsidRPr="00CD63D3">
              <w:rPr>
                <w:sz w:val="24"/>
                <w:szCs w:val="24"/>
              </w:rPr>
              <w:t xml:space="preserve">iemo statiniai (kiemo aikštelė, tvora) (unikalus Nr. 8496-4010-1083); </w:t>
            </w:r>
            <w:r w:rsidR="00530406">
              <w:rPr>
                <w:sz w:val="24"/>
                <w:szCs w:val="24"/>
              </w:rPr>
              <w:t xml:space="preserve">0,5405 ha ploto dalis žemės sklypo (iš bendro </w:t>
            </w:r>
            <w:r w:rsidRPr="00CD63D3">
              <w:rPr>
                <w:sz w:val="24"/>
                <w:szCs w:val="24"/>
              </w:rPr>
              <w:t xml:space="preserve">1,9863 ha </w:t>
            </w:r>
            <w:r w:rsidR="00530406">
              <w:rPr>
                <w:sz w:val="24"/>
                <w:szCs w:val="24"/>
              </w:rPr>
              <w:t>ploto)</w:t>
            </w:r>
            <w:r w:rsidRPr="00CD63D3">
              <w:rPr>
                <w:sz w:val="24"/>
                <w:szCs w:val="24"/>
              </w:rPr>
              <w:t xml:space="preserve"> (kadastro Nr. 8438/0001:59, unikalus Nr. 4400-4922-8320), </w:t>
            </w:r>
            <w:r w:rsidR="00530406">
              <w:rPr>
                <w:sz w:val="24"/>
                <w:szCs w:val="24"/>
              </w:rPr>
              <w:t xml:space="preserve">adresu: Šakių r. sav., Šakių sen., Gotlybiškių k., </w:t>
            </w:r>
            <w:r w:rsidRPr="00CD63D3">
              <w:rPr>
                <w:sz w:val="24"/>
                <w:szCs w:val="24"/>
              </w:rPr>
              <w:t>Mokyklos g. 26.</w:t>
            </w:r>
          </w:p>
          <w:bookmarkEnd w:id="0"/>
          <w:p w14:paraId="115A3A62" w14:textId="77777777" w:rsidR="00D362AA" w:rsidRPr="00D7273A" w:rsidRDefault="00D362AA" w:rsidP="00CD63D3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24D05CA0" w14:textId="77777777" w:rsidTr="000D7917">
        <w:tc>
          <w:tcPr>
            <w:tcW w:w="1908" w:type="dxa"/>
          </w:tcPr>
          <w:p w14:paraId="09555B4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2A9CA07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55C3F879" w14:textId="77777777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(dalies) pradinė pardavimo kaina</w:t>
            </w:r>
          </w:p>
        </w:tc>
        <w:tc>
          <w:tcPr>
            <w:tcW w:w="1320" w:type="dxa"/>
          </w:tcPr>
          <w:p w14:paraId="5A202999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1EE8C526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62E0123A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49282997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530406" w:rsidRPr="00530406" w14:paraId="02102309" w14:textId="77777777" w:rsidTr="00390576">
        <w:trPr>
          <w:trHeight w:val="603"/>
        </w:trPr>
        <w:tc>
          <w:tcPr>
            <w:tcW w:w="1908" w:type="dxa"/>
          </w:tcPr>
          <w:p w14:paraId="687E26A3" w14:textId="7C0D9BDA" w:rsidR="007161DA" w:rsidRPr="00530406" w:rsidRDefault="003664BA" w:rsidP="007161DA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28550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800" w:type="dxa"/>
          </w:tcPr>
          <w:p w14:paraId="4A9D241D" w14:textId="085B5A8D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26367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97F51C4" w14:textId="2AAB7951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2183</w:t>
            </w:r>
            <w:r w:rsidR="007161DA" w:rsidRPr="003664BA">
              <w:rPr>
                <w:sz w:val="24"/>
                <w:szCs w:val="24"/>
              </w:rPr>
              <w:t>,00 Eur</w:t>
            </w:r>
            <w:r w:rsidR="00D25413" w:rsidRPr="003664BA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14:paraId="74708EE3" w14:textId="0B924136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  <w:shd w:val="clear" w:color="auto" w:fill="auto"/>
          </w:tcPr>
          <w:p w14:paraId="1D268DA2" w14:textId="24DE8143" w:rsidR="007161DA" w:rsidRPr="00530406" w:rsidRDefault="00CA27D8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60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440" w:type="dxa"/>
            <w:shd w:val="clear" w:color="auto" w:fill="auto"/>
          </w:tcPr>
          <w:p w14:paraId="6B143A5E" w14:textId="0E933DED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2850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</w:tr>
      <w:tr w:rsidR="00D25413" w:rsidRPr="00451ACD" w14:paraId="1F390880" w14:textId="77777777" w:rsidTr="00263915">
        <w:tc>
          <w:tcPr>
            <w:tcW w:w="9708" w:type="dxa"/>
            <w:gridSpan w:val="6"/>
          </w:tcPr>
          <w:p w14:paraId="1D1DE724" w14:textId="568116C7" w:rsidR="00D25413" w:rsidRPr="00451ACD" w:rsidRDefault="00D25413" w:rsidP="00D25413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B442C">
              <w:rPr>
                <w:sz w:val="24"/>
                <w:szCs w:val="24"/>
              </w:rPr>
              <w:t xml:space="preserve">* Žemės sklypo pradinę pardavimo kainą sudaro: žemės sklypo pardavimo kaina </w:t>
            </w:r>
            <w:r w:rsidRPr="009A2152">
              <w:rPr>
                <w:sz w:val="24"/>
                <w:szCs w:val="24"/>
              </w:rPr>
              <w:t xml:space="preserve">– </w:t>
            </w:r>
            <w:r w:rsidR="00D96808">
              <w:rPr>
                <w:sz w:val="24"/>
                <w:szCs w:val="24"/>
              </w:rPr>
              <w:t>1833</w:t>
            </w:r>
            <w:r w:rsidRPr="00D96808">
              <w:rPr>
                <w:sz w:val="24"/>
                <w:szCs w:val="24"/>
              </w:rPr>
              <w:t xml:space="preserve">,00 Eur, </w:t>
            </w:r>
            <w:r w:rsidRPr="004B442C">
              <w:rPr>
                <w:sz w:val="24"/>
                <w:szCs w:val="24"/>
              </w:rPr>
              <w:t xml:space="preserve">žemės sklypo parengimo išlaidos – </w:t>
            </w:r>
            <w:r w:rsidR="00155DEF">
              <w:rPr>
                <w:sz w:val="24"/>
                <w:szCs w:val="24"/>
              </w:rPr>
              <w:t>35</w:t>
            </w:r>
            <w:r w:rsidR="00C610F7">
              <w:rPr>
                <w:sz w:val="24"/>
                <w:szCs w:val="24"/>
              </w:rPr>
              <w:t>0</w:t>
            </w:r>
            <w:r w:rsidRPr="004B442C">
              <w:rPr>
                <w:sz w:val="24"/>
                <w:szCs w:val="24"/>
              </w:rPr>
              <w:t>,00 Eur.</w:t>
            </w:r>
          </w:p>
        </w:tc>
      </w:tr>
      <w:tr w:rsidR="005E3283" w:rsidRPr="00451ACD" w14:paraId="7C4F56DB" w14:textId="77777777" w:rsidTr="00263915">
        <w:tc>
          <w:tcPr>
            <w:tcW w:w="9708" w:type="dxa"/>
            <w:gridSpan w:val="6"/>
          </w:tcPr>
          <w:p w14:paraId="71977A19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B33FA81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741E1694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4155254D" w14:textId="69DEFB9D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sklypo</w:t>
            </w:r>
            <w:r>
              <w:rPr>
                <w:i/>
                <w:sz w:val="24"/>
                <w:szCs w:val="24"/>
              </w:rPr>
              <w:t xml:space="preserve">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</w:t>
            </w:r>
            <w:r w:rsidR="007407A1">
              <w:rPr>
                <w:sz w:val="24"/>
                <w:szCs w:val="24"/>
              </w:rPr>
              <w:t>visuomeninės paskirties</w:t>
            </w:r>
            <w:r>
              <w:rPr>
                <w:sz w:val="24"/>
                <w:szCs w:val="24"/>
              </w:rPr>
              <w:t xml:space="preserve"> teritorijos</w:t>
            </w:r>
            <w:r w:rsidRPr="00451ACD">
              <w:rPr>
                <w:sz w:val="24"/>
                <w:szCs w:val="24"/>
              </w:rPr>
              <w:t xml:space="preserve">. </w:t>
            </w:r>
          </w:p>
          <w:p w14:paraId="7A84C66C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2BD1A10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naudojimo sąlygos:</w:t>
            </w:r>
          </w:p>
          <w:p w14:paraId="5980F65F" w14:textId="19A258DD" w:rsidR="006868E9" w:rsidRDefault="006868E9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apsaugos zonos</w:t>
            </w:r>
            <w:r w:rsidR="007C77E4">
              <w:rPr>
                <w:sz w:val="24"/>
                <w:szCs w:val="24"/>
              </w:rPr>
              <w:t xml:space="preserve"> (VI skyrius, septintasis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37F074F2" w14:textId="223ECA0A" w:rsidR="00297DBB" w:rsidRDefault="004C63C9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Vandens tiekimo ir nuotekų, paviršinių nuotekų tvarkymo infrastruktūros apsaugos zonos</w:t>
            </w:r>
            <w:r w:rsidR="007C77E4">
              <w:rPr>
                <w:sz w:val="24"/>
                <w:szCs w:val="24"/>
              </w:rPr>
              <w:t xml:space="preserve"> (III skyrius, dešimtasis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69C041E1" w14:textId="3F7B8F5B" w:rsidR="006868E9" w:rsidRDefault="006868E9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Elektros tinklų apsaugos zonos</w:t>
            </w:r>
            <w:r w:rsidR="007C77E4">
              <w:rPr>
                <w:sz w:val="24"/>
                <w:szCs w:val="24"/>
              </w:rPr>
              <w:t xml:space="preserve"> (III skyrius, ketvirtasis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05E42BF1" w14:textId="792130D6" w:rsidR="005E3283" w:rsidRDefault="005E3283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Kelių apsaugos zonos</w:t>
            </w:r>
            <w:r w:rsidR="007C77E4">
              <w:rPr>
                <w:sz w:val="24"/>
                <w:szCs w:val="24"/>
              </w:rPr>
              <w:t xml:space="preserve"> (III skyrius, antrasis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655A827A" w14:textId="6C231302" w:rsidR="004C63C9" w:rsidRDefault="00395F58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Elektroninių ryšių tinklų elektroninių ryšių infrastruktūros apsaugos zonos</w:t>
            </w:r>
            <w:r w:rsidR="007C77E4">
              <w:rPr>
                <w:sz w:val="24"/>
                <w:szCs w:val="24"/>
              </w:rPr>
              <w:t xml:space="preserve"> (III skyrius, vienuoliktasis skirsnis).</w:t>
            </w:r>
          </w:p>
          <w:p w14:paraId="2C20AB10" w14:textId="77777777" w:rsidR="005E3283" w:rsidRPr="004B442C" w:rsidRDefault="005E3283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D25413" w:rsidRPr="00451ACD" w14:paraId="1CCD542A" w14:textId="77777777" w:rsidTr="00263915">
        <w:trPr>
          <w:trHeight w:val="124"/>
        </w:trPr>
        <w:tc>
          <w:tcPr>
            <w:tcW w:w="9708" w:type="dxa"/>
            <w:gridSpan w:val="6"/>
          </w:tcPr>
          <w:p w14:paraId="09998CA2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4A87DB0" w14:textId="072CFC7B" w:rsidR="005A0A2B" w:rsidRPr="007C2D35" w:rsidRDefault="00D25413" w:rsidP="00D25413">
            <w:pPr>
              <w:ind w:right="-1"/>
              <w:jc w:val="both"/>
              <w:outlineLvl w:val="0"/>
              <w:rPr>
                <w:rStyle w:val="right"/>
                <w:color w:val="FF0000"/>
                <w:sz w:val="24"/>
                <w:szCs w:val="24"/>
              </w:rPr>
            </w:pPr>
            <w:r w:rsidRPr="00451ACD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451ACD">
              <w:rPr>
                <w:color w:val="000000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5A0A2B">
              <w:rPr>
                <w:rStyle w:val="right"/>
                <w:sz w:val="24"/>
                <w:szCs w:val="24"/>
              </w:rPr>
              <w:t xml:space="preserve">fizinės ir funkcinės </w:t>
            </w:r>
            <w:r w:rsidR="005A0A2B" w:rsidRPr="00E9602E">
              <w:rPr>
                <w:rStyle w:val="right"/>
                <w:sz w:val="24"/>
                <w:szCs w:val="24"/>
              </w:rPr>
              <w:t>būklės</w:t>
            </w:r>
            <w:r w:rsidR="005A0A2B">
              <w:rPr>
                <w:rStyle w:val="right"/>
                <w:sz w:val="24"/>
                <w:szCs w:val="24"/>
              </w:rPr>
              <w:t xml:space="preserve"> bei pagal esamus nekilnojamojo turto kadastro duomenis</w:t>
            </w:r>
            <w:r w:rsidR="005A0A2B" w:rsidRPr="00597865">
              <w:rPr>
                <w:rStyle w:val="right"/>
                <w:color w:val="00B050"/>
                <w:sz w:val="24"/>
                <w:szCs w:val="24"/>
              </w:rPr>
              <w:t xml:space="preserve">. </w:t>
            </w:r>
            <w:r w:rsidR="005A0A2B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5A0A2B" w:rsidRPr="00E9602E">
              <w:rPr>
                <w:rStyle w:val="right"/>
                <w:sz w:val="24"/>
                <w:szCs w:val="24"/>
              </w:rPr>
              <w:t>neįsipareigoja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5A0A2B">
              <w:rPr>
                <w:rStyle w:val="right"/>
                <w:sz w:val="24"/>
                <w:szCs w:val="24"/>
              </w:rPr>
              <w:t>jame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 esančių daiktų.</w:t>
            </w:r>
            <w:r w:rsidR="007C2D35">
              <w:rPr>
                <w:rStyle w:val="right"/>
                <w:sz w:val="24"/>
                <w:szCs w:val="24"/>
              </w:rPr>
              <w:t xml:space="preserve"> </w:t>
            </w:r>
          </w:p>
          <w:p w14:paraId="6A07E7B8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C517A26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CC7EA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68A058EB" w14:textId="77777777" w:rsidR="009B2ACB" w:rsidRPr="006565BF" w:rsidRDefault="009B2ACB" w:rsidP="009B2ACB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Šakių seniūnijos seniūną Dalių Jasevičių, tel. </w:t>
            </w:r>
            <w:r>
              <w:t xml:space="preserve">+370 345 52207, mob. tel. +370 686 50360.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46A1C75E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4C230D2" w14:textId="69343430" w:rsidR="006E21D1" w:rsidRPr="009E6475" w:rsidRDefault="006E21D1" w:rsidP="006E21D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D36761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-2</w:t>
            </w:r>
            <w:r w:rsidR="00D36761">
              <w:rPr>
                <w:b/>
                <w:sz w:val="24"/>
                <w:szCs w:val="24"/>
              </w:rPr>
              <w:t>2</w:t>
            </w:r>
            <w:r w:rsidRPr="009E6475">
              <w:rPr>
                <w:b/>
                <w:sz w:val="24"/>
                <w:szCs w:val="24"/>
              </w:rPr>
              <w:t>, 0.00 val./ 2025-0</w:t>
            </w:r>
            <w:r w:rsidR="00D36761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-2</w:t>
            </w:r>
            <w:r w:rsidR="00D36761">
              <w:rPr>
                <w:b/>
                <w:sz w:val="24"/>
                <w:szCs w:val="24"/>
              </w:rPr>
              <w:t>4</w:t>
            </w:r>
            <w:r w:rsidRPr="009E6475">
              <w:rPr>
                <w:b/>
                <w:sz w:val="24"/>
                <w:szCs w:val="24"/>
              </w:rPr>
              <w:t>, 23.59 val.</w:t>
            </w:r>
          </w:p>
          <w:p w14:paraId="38D7BADC" w14:textId="77777777" w:rsidR="006E21D1" w:rsidRPr="009E6475" w:rsidRDefault="006E21D1" w:rsidP="006E21D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47286A34" w14:textId="23FD540A" w:rsidR="006E21D1" w:rsidRPr="009E6475" w:rsidRDefault="006E21D1" w:rsidP="006E21D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2025-0</w:t>
            </w:r>
            <w:r w:rsidR="00D36761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D36761">
              <w:rPr>
                <w:b/>
                <w:sz w:val="24"/>
                <w:szCs w:val="24"/>
              </w:rPr>
              <w:t>29</w:t>
            </w:r>
            <w:r w:rsidRPr="009E6475">
              <w:rPr>
                <w:b/>
                <w:sz w:val="24"/>
                <w:szCs w:val="24"/>
              </w:rPr>
              <w:t>, 9.00 val./ 2025-0</w:t>
            </w:r>
            <w:r w:rsidR="00D36761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D36761">
              <w:rPr>
                <w:b/>
                <w:sz w:val="24"/>
                <w:szCs w:val="24"/>
              </w:rPr>
              <w:t>30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BF6EF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B58BF64" w14:textId="1A12A451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BC4F3B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BC4F3B" w:rsidRPr="0085058F">
              <w:rPr>
                <w:bCs/>
                <w:sz w:val="24"/>
                <w:szCs w:val="24"/>
              </w:rPr>
              <w:t>.</w:t>
            </w:r>
          </w:p>
          <w:p w14:paraId="26B337F8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476FA5D" w14:textId="31395D60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36F9063" w14:textId="5E1BB805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0A02EE33" w14:textId="16065B91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2D78D1E7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F194750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(8 345)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57D18AF9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C22A3B5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36E6" w14:textId="77777777" w:rsidR="00F14C6E" w:rsidRDefault="00F14C6E">
      <w:r>
        <w:separator/>
      </w:r>
    </w:p>
  </w:endnote>
  <w:endnote w:type="continuationSeparator" w:id="0">
    <w:p w14:paraId="70F3C73F" w14:textId="77777777" w:rsidR="00F14C6E" w:rsidRDefault="00F1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1442" w14:textId="77777777" w:rsidR="00F14C6E" w:rsidRDefault="00F14C6E">
      <w:r>
        <w:separator/>
      </w:r>
    </w:p>
  </w:footnote>
  <w:footnote w:type="continuationSeparator" w:id="0">
    <w:p w14:paraId="213D9144" w14:textId="77777777" w:rsidR="00F14C6E" w:rsidRDefault="00F1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58C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0A8DB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AD8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F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B95FB0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089C"/>
    <w:rsid w:val="00021DD4"/>
    <w:rsid w:val="000240AD"/>
    <w:rsid w:val="0003215B"/>
    <w:rsid w:val="00041540"/>
    <w:rsid w:val="00041853"/>
    <w:rsid w:val="000502BF"/>
    <w:rsid w:val="00050AB1"/>
    <w:rsid w:val="00052FF5"/>
    <w:rsid w:val="0005315F"/>
    <w:rsid w:val="00062087"/>
    <w:rsid w:val="00070641"/>
    <w:rsid w:val="000B1157"/>
    <w:rsid w:val="000B1787"/>
    <w:rsid w:val="000B1C16"/>
    <w:rsid w:val="000B6461"/>
    <w:rsid w:val="000C4E53"/>
    <w:rsid w:val="000D4537"/>
    <w:rsid w:val="000D541F"/>
    <w:rsid w:val="000D7917"/>
    <w:rsid w:val="000E0842"/>
    <w:rsid w:val="000E5763"/>
    <w:rsid w:val="00102FE1"/>
    <w:rsid w:val="00103185"/>
    <w:rsid w:val="00103512"/>
    <w:rsid w:val="0011132E"/>
    <w:rsid w:val="001229F5"/>
    <w:rsid w:val="00124BB3"/>
    <w:rsid w:val="001300E7"/>
    <w:rsid w:val="001311F9"/>
    <w:rsid w:val="00133247"/>
    <w:rsid w:val="001335FA"/>
    <w:rsid w:val="00155DD2"/>
    <w:rsid w:val="00155DEF"/>
    <w:rsid w:val="001568AC"/>
    <w:rsid w:val="00156FCB"/>
    <w:rsid w:val="0017210A"/>
    <w:rsid w:val="00177CDF"/>
    <w:rsid w:val="00182F94"/>
    <w:rsid w:val="00194C22"/>
    <w:rsid w:val="0019656D"/>
    <w:rsid w:val="001A15FB"/>
    <w:rsid w:val="001A7881"/>
    <w:rsid w:val="001A7BAD"/>
    <w:rsid w:val="001B48BE"/>
    <w:rsid w:val="001C0E3B"/>
    <w:rsid w:val="001C3BE6"/>
    <w:rsid w:val="001D2A20"/>
    <w:rsid w:val="001D6364"/>
    <w:rsid w:val="001E2AA5"/>
    <w:rsid w:val="001E61F5"/>
    <w:rsid w:val="001F0263"/>
    <w:rsid w:val="001F5123"/>
    <w:rsid w:val="00201021"/>
    <w:rsid w:val="002010B1"/>
    <w:rsid w:val="002028C5"/>
    <w:rsid w:val="00211EB4"/>
    <w:rsid w:val="00213704"/>
    <w:rsid w:val="00213E97"/>
    <w:rsid w:val="0021687A"/>
    <w:rsid w:val="002173A3"/>
    <w:rsid w:val="0022133E"/>
    <w:rsid w:val="00234C83"/>
    <w:rsid w:val="002354F6"/>
    <w:rsid w:val="00250C26"/>
    <w:rsid w:val="002541D2"/>
    <w:rsid w:val="00263915"/>
    <w:rsid w:val="00264EEA"/>
    <w:rsid w:val="00265EFB"/>
    <w:rsid w:val="00274539"/>
    <w:rsid w:val="00284EE7"/>
    <w:rsid w:val="00291CB1"/>
    <w:rsid w:val="00297DBB"/>
    <w:rsid w:val="002A1315"/>
    <w:rsid w:val="002B36E1"/>
    <w:rsid w:val="002B42F9"/>
    <w:rsid w:val="002B44D7"/>
    <w:rsid w:val="002C15A9"/>
    <w:rsid w:val="002D0B88"/>
    <w:rsid w:val="002E1B93"/>
    <w:rsid w:val="002E1D0D"/>
    <w:rsid w:val="002E549E"/>
    <w:rsid w:val="002E7E2D"/>
    <w:rsid w:val="002F3B98"/>
    <w:rsid w:val="002F69A2"/>
    <w:rsid w:val="003013A5"/>
    <w:rsid w:val="003045B4"/>
    <w:rsid w:val="00307EF5"/>
    <w:rsid w:val="00313167"/>
    <w:rsid w:val="00317B96"/>
    <w:rsid w:val="00323718"/>
    <w:rsid w:val="00326947"/>
    <w:rsid w:val="00326B7B"/>
    <w:rsid w:val="003467D1"/>
    <w:rsid w:val="00351D39"/>
    <w:rsid w:val="00352A0D"/>
    <w:rsid w:val="00360EDD"/>
    <w:rsid w:val="003664BA"/>
    <w:rsid w:val="00377559"/>
    <w:rsid w:val="003824BB"/>
    <w:rsid w:val="00382BEA"/>
    <w:rsid w:val="003920C8"/>
    <w:rsid w:val="00395F58"/>
    <w:rsid w:val="00395FE9"/>
    <w:rsid w:val="003A3306"/>
    <w:rsid w:val="003B2F02"/>
    <w:rsid w:val="003E1612"/>
    <w:rsid w:val="00413057"/>
    <w:rsid w:val="004130D8"/>
    <w:rsid w:val="00420288"/>
    <w:rsid w:val="00421AB3"/>
    <w:rsid w:val="004357E0"/>
    <w:rsid w:val="0043581F"/>
    <w:rsid w:val="004360CA"/>
    <w:rsid w:val="00451ACD"/>
    <w:rsid w:val="0045271E"/>
    <w:rsid w:val="004702D2"/>
    <w:rsid w:val="00472A1B"/>
    <w:rsid w:val="00476674"/>
    <w:rsid w:val="00484480"/>
    <w:rsid w:val="00484758"/>
    <w:rsid w:val="00497369"/>
    <w:rsid w:val="004A2A6D"/>
    <w:rsid w:val="004A3FE7"/>
    <w:rsid w:val="004A546E"/>
    <w:rsid w:val="004B2825"/>
    <w:rsid w:val="004B773F"/>
    <w:rsid w:val="004C63C9"/>
    <w:rsid w:val="004D07F4"/>
    <w:rsid w:val="004D54CA"/>
    <w:rsid w:val="004E09A6"/>
    <w:rsid w:val="004F42DD"/>
    <w:rsid w:val="004F4C92"/>
    <w:rsid w:val="004F7C6D"/>
    <w:rsid w:val="00514247"/>
    <w:rsid w:val="00525136"/>
    <w:rsid w:val="0052617E"/>
    <w:rsid w:val="00530406"/>
    <w:rsid w:val="005358B2"/>
    <w:rsid w:val="005368F4"/>
    <w:rsid w:val="00544C3A"/>
    <w:rsid w:val="00550E46"/>
    <w:rsid w:val="00550F20"/>
    <w:rsid w:val="00556C39"/>
    <w:rsid w:val="00563524"/>
    <w:rsid w:val="00564C8F"/>
    <w:rsid w:val="00575B1D"/>
    <w:rsid w:val="0058156B"/>
    <w:rsid w:val="00582039"/>
    <w:rsid w:val="005917DF"/>
    <w:rsid w:val="00597865"/>
    <w:rsid w:val="005A0A2B"/>
    <w:rsid w:val="005A0E88"/>
    <w:rsid w:val="005C6AB3"/>
    <w:rsid w:val="005D01CB"/>
    <w:rsid w:val="005D2FC2"/>
    <w:rsid w:val="005E3283"/>
    <w:rsid w:val="006100F1"/>
    <w:rsid w:val="00610162"/>
    <w:rsid w:val="006263EA"/>
    <w:rsid w:val="00626A48"/>
    <w:rsid w:val="006452D7"/>
    <w:rsid w:val="00661097"/>
    <w:rsid w:val="00671FC5"/>
    <w:rsid w:val="00675955"/>
    <w:rsid w:val="00680DD1"/>
    <w:rsid w:val="00681D7E"/>
    <w:rsid w:val="006851EB"/>
    <w:rsid w:val="00685ACB"/>
    <w:rsid w:val="006868E9"/>
    <w:rsid w:val="00687D50"/>
    <w:rsid w:val="00696833"/>
    <w:rsid w:val="006A1ED2"/>
    <w:rsid w:val="006A5D15"/>
    <w:rsid w:val="006B239A"/>
    <w:rsid w:val="006B60D6"/>
    <w:rsid w:val="006B78E6"/>
    <w:rsid w:val="006C2DAF"/>
    <w:rsid w:val="006C48EA"/>
    <w:rsid w:val="006C4DCC"/>
    <w:rsid w:val="006D301E"/>
    <w:rsid w:val="006D3ACF"/>
    <w:rsid w:val="006E21D1"/>
    <w:rsid w:val="006E38DA"/>
    <w:rsid w:val="006E60E9"/>
    <w:rsid w:val="006E7DD3"/>
    <w:rsid w:val="006F0DEE"/>
    <w:rsid w:val="006F719F"/>
    <w:rsid w:val="00700C20"/>
    <w:rsid w:val="0070771A"/>
    <w:rsid w:val="0071197F"/>
    <w:rsid w:val="00714824"/>
    <w:rsid w:val="007161DA"/>
    <w:rsid w:val="00716A2F"/>
    <w:rsid w:val="00720552"/>
    <w:rsid w:val="00724C21"/>
    <w:rsid w:val="007278F7"/>
    <w:rsid w:val="00734DE9"/>
    <w:rsid w:val="007363DD"/>
    <w:rsid w:val="007372DC"/>
    <w:rsid w:val="007407A1"/>
    <w:rsid w:val="00752CE1"/>
    <w:rsid w:val="00753281"/>
    <w:rsid w:val="0075470D"/>
    <w:rsid w:val="007602B5"/>
    <w:rsid w:val="0076386D"/>
    <w:rsid w:val="00764377"/>
    <w:rsid w:val="007752F3"/>
    <w:rsid w:val="00776B07"/>
    <w:rsid w:val="00781F76"/>
    <w:rsid w:val="00786C64"/>
    <w:rsid w:val="00793BD9"/>
    <w:rsid w:val="00794125"/>
    <w:rsid w:val="007A3FD8"/>
    <w:rsid w:val="007B2681"/>
    <w:rsid w:val="007B5E98"/>
    <w:rsid w:val="007C2D35"/>
    <w:rsid w:val="007C5394"/>
    <w:rsid w:val="007C6AF6"/>
    <w:rsid w:val="007C77E4"/>
    <w:rsid w:val="007F2B99"/>
    <w:rsid w:val="007F2C52"/>
    <w:rsid w:val="007F67A4"/>
    <w:rsid w:val="00800A07"/>
    <w:rsid w:val="00805BEF"/>
    <w:rsid w:val="00816976"/>
    <w:rsid w:val="00816D1D"/>
    <w:rsid w:val="008219B7"/>
    <w:rsid w:val="008244E0"/>
    <w:rsid w:val="00827E54"/>
    <w:rsid w:val="00842C18"/>
    <w:rsid w:val="008441D8"/>
    <w:rsid w:val="008448CD"/>
    <w:rsid w:val="00857870"/>
    <w:rsid w:val="0086111B"/>
    <w:rsid w:val="0086311D"/>
    <w:rsid w:val="00866F06"/>
    <w:rsid w:val="008679D3"/>
    <w:rsid w:val="00870FB0"/>
    <w:rsid w:val="00880733"/>
    <w:rsid w:val="00882330"/>
    <w:rsid w:val="00882E4F"/>
    <w:rsid w:val="00883F1F"/>
    <w:rsid w:val="00890DA8"/>
    <w:rsid w:val="008976BA"/>
    <w:rsid w:val="008A3AE0"/>
    <w:rsid w:val="008B7040"/>
    <w:rsid w:val="008C311B"/>
    <w:rsid w:val="008E4EE4"/>
    <w:rsid w:val="008F77C1"/>
    <w:rsid w:val="00900D03"/>
    <w:rsid w:val="009061FB"/>
    <w:rsid w:val="009113C7"/>
    <w:rsid w:val="009146E0"/>
    <w:rsid w:val="00925FA8"/>
    <w:rsid w:val="00933A1D"/>
    <w:rsid w:val="00941373"/>
    <w:rsid w:val="00941AC5"/>
    <w:rsid w:val="00946C97"/>
    <w:rsid w:val="0094767E"/>
    <w:rsid w:val="00954E67"/>
    <w:rsid w:val="00955AE9"/>
    <w:rsid w:val="0097258A"/>
    <w:rsid w:val="00972A71"/>
    <w:rsid w:val="009749BD"/>
    <w:rsid w:val="00974DD8"/>
    <w:rsid w:val="00975069"/>
    <w:rsid w:val="009A1945"/>
    <w:rsid w:val="009A2152"/>
    <w:rsid w:val="009A30B5"/>
    <w:rsid w:val="009B2ACB"/>
    <w:rsid w:val="009C1543"/>
    <w:rsid w:val="009C7A37"/>
    <w:rsid w:val="009D4922"/>
    <w:rsid w:val="009D707F"/>
    <w:rsid w:val="009F3BC4"/>
    <w:rsid w:val="009F5698"/>
    <w:rsid w:val="00A141F7"/>
    <w:rsid w:val="00A15D49"/>
    <w:rsid w:val="00A16D7A"/>
    <w:rsid w:val="00A20784"/>
    <w:rsid w:val="00A27025"/>
    <w:rsid w:val="00A410D5"/>
    <w:rsid w:val="00A439D9"/>
    <w:rsid w:val="00A4401D"/>
    <w:rsid w:val="00A6228B"/>
    <w:rsid w:val="00A64609"/>
    <w:rsid w:val="00A86516"/>
    <w:rsid w:val="00A86623"/>
    <w:rsid w:val="00A91FCC"/>
    <w:rsid w:val="00AC208B"/>
    <w:rsid w:val="00AC5A62"/>
    <w:rsid w:val="00AC7DC2"/>
    <w:rsid w:val="00AD4851"/>
    <w:rsid w:val="00AE2277"/>
    <w:rsid w:val="00AF6ACC"/>
    <w:rsid w:val="00B00BCD"/>
    <w:rsid w:val="00B07CBF"/>
    <w:rsid w:val="00B14085"/>
    <w:rsid w:val="00B20400"/>
    <w:rsid w:val="00B32790"/>
    <w:rsid w:val="00B43EFE"/>
    <w:rsid w:val="00B4762A"/>
    <w:rsid w:val="00B631D4"/>
    <w:rsid w:val="00B709E6"/>
    <w:rsid w:val="00B71BF5"/>
    <w:rsid w:val="00B72524"/>
    <w:rsid w:val="00B74739"/>
    <w:rsid w:val="00B77642"/>
    <w:rsid w:val="00B8759D"/>
    <w:rsid w:val="00BA02AE"/>
    <w:rsid w:val="00BA28C8"/>
    <w:rsid w:val="00BB2B48"/>
    <w:rsid w:val="00BB7EFE"/>
    <w:rsid w:val="00BC35FD"/>
    <w:rsid w:val="00BC4F3B"/>
    <w:rsid w:val="00BC6BBA"/>
    <w:rsid w:val="00BE1B2F"/>
    <w:rsid w:val="00BE2DF9"/>
    <w:rsid w:val="00BE3320"/>
    <w:rsid w:val="00BF1878"/>
    <w:rsid w:val="00BF4C9F"/>
    <w:rsid w:val="00BF7BEA"/>
    <w:rsid w:val="00C02295"/>
    <w:rsid w:val="00C12797"/>
    <w:rsid w:val="00C128C5"/>
    <w:rsid w:val="00C171D3"/>
    <w:rsid w:val="00C25066"/>
    <w:rsid w:val="00C262B1"/>
    <w:rsid w:val="00C354CA"/>
    <w:rsid w:val="00C4140D"/>
    <w:rsid w:val="00C4278F"/>
    <w:rsid w:val="00C44BC6"/>
    <w:rsid w:val="00C50731"/>
    <w:rsid w:val="00C50E47"/>
    <w:rsid w:val="00C562CA"/>
    <w:rsid w:val="00C5693F"/>
    <w:rsid w:val="00C57A7B"/>
    <w:rsid w:val="00C610F7"/>
    <w:rsid w:val="00C6211C"/>
    <w:rsid w:val="00C70254"/>
    <w:rsid w:val="00C77983"/>
    <w:rsid w:val="00C833A0"/>
    <w:rsid w:val="00C9711F"/>
    <w:rsid w:val="00CA27D8"/>
    <w:rsid w:val="00CA5AE7"/>
    <w:rsid w:val="00CA65F1"/>
    <w:rsid w:val="00CA7DB0"/>
    <w:rsid w:val="00CB0C3B"/>
    <w:rsid w:val="00CB48A9"/>
    <w:rsid w:val="00CD081E"/>
    <w:rsid w:val="00CD63D3"/>
    <w:rsid w:val="00CD6E81"/>
    <w:rsid w:val="00CE58C0"/>
    <w:rsid w:val="00CE5BB0"/>
    <w:rsid w:val="00CF0F0B"/>
    <w:rsid w:val="00D00C0F"/>
    <w:rsid w:val="00D03850"/>
    <w:rsid w:val="00D06C39"/>
    <w:rsid w:val="00D1575F"/>
    <w:rsid w:val="00D1589E"/>
    <w:rsid w:val="00D211AE"/>
    <w:rsid w:val="00D22173"/>
    <w:rsid w:val="00D25413"/>
    <w:rsid w:val="00D34460"/>
    <w:rsid w:val="00D362AA"/>
    <w:rsid w:val="00D36761"/>
    <w:rsid w:val="00D51AB8"/>
    <w:rsid w:val="00D56DE9"/>
    <w:rsid w:val="00D57332"/>
    <w:rsid w:val="00D7273A"/>
    <w:rsid w:val="00D7650F"/>
    <w:rsid w:val="00D76E10"/>
    <w:rsid w:val="00D81609"/>
    <w:rsid w:val="00D82E04"/>
    <w:rsid w:val="00D86A63"/>
    <w:rsid w:val="00D94606"/>
    <w:rsid w:val="00D95939"/>
    <w:rsid w:val="00D96700"/>
    <w:rsid w:val="00D96808"/>
    <w:rsid w:val="00D9721C"/>
    <w:rsid w:val="00DB1E5A"/>
    <w:rsid w:val="00DC1721"/>
    <w:rsid w:val="00DC5216"/>
    <w:rsid w:val="00DC6860"/>
    <w:rsid w:val="00DC6FA3"/>
    <w:rsid w:val="00DE2359"/>
    <w:rsid w:val="00DE622D"/>
    <w:rsid w:val="00DE6A85"/>
    <w:rsid w:val="00DF243E"/>
    <w:rsid w:val="00DF325D"/>
    <w:rsid w:val="00E00362"/>
    <w:rsid w:val="00E024C3"/>
    <w:rsid w:val="00E116C8"/>
    <w:rsid w:val="00E15682"/>
    <w:rsid w:val="00E213EC"/>
    <w:rsid w:val="00E26109"/>
    <w:rsid w:val="00E54616"/>
    <w:rsid w:val="00E56F1E"/>
    <w:rsid w:val="00E60014"/>
    <w:rsid w:val="00E61BDA"/>
    <w:rsid w:val="00E63738"/>
    <w:rsid w:val="00E70EFF"/>
    <w:rsid w:val="00E71C2B"/>
    <w:rsid w:val="00E847FF"/>
    <w:rsid w:val="00E920E3"/>
    <w:rsid w:val="00E941EC"/>
    <w:rsid w:val="00EB71D3"/>
    <w:rsid w:val="00EC47E0"/>
    <w:rsid w:val="00EC5D0F"/>
    <w:rsid w:val="00EC6A45"/>
    <w:rsid w:val="00ED2CE7"/>
    <w:rsid w:val="00ED6978"/>
    <w:rsid w:val="00EE15EA"/>
    <w:rsid w:val="00EE3635"/>
    <w:rsid w:val="00EE50DB"/>
    <w:rsid w:val="00EF4FCD"/>
    <w:rsid w:val="00EF6B94"/>
    <w:rsid w:val="00EF6E95"/>
    <w:rsid w:val="00F02630"/>
    <w:rsid w:val="00F03837"/>
    <w:rsid w:val="00F055C2"/>
    <w:rsid w:val="00F07D14"/>
    <w:rsid w:val="00F14C6E"/>
    <w:rsid w:val="00F25A25"/>
    <w:rsid w:val="00F27ABD"/>
    <w:rsid w:val="00F36781"/>
    <w:rsid w:val="00F54594"/>
    <w:rsid w:val="00F6088F"/>
    <w:rsid w:val="00F61C73"/>
    <w:rsid w:val="00F632E6"/>
    <w:rsid w:val="00F6683B"/>
    <w:rsid w:val="00F67ABD"/>
    <w:rsid w:val="00F75F51"/>
    <w:rsid w:val="00F82D14"/>
    <w:rsid w:val="00F85ABD"/>
    <w:rsid w:val="00F8667D"/>
    <w:rsid w:val="00F9430D"/>
    <w:rsid w:val="00F94AAB"/>
    <w:rsid w:val="00FA019B"/>
    <w:rsid w:val="00FA05C7"/>
    <w:rsid w:val="00FA10C7"/>
    <w:rsid w:val="00FB59B0"/>
    <w:rsid w:val="00FC0DA0"/>
    <w:rsid w:val="00FD4BD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720D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4E09A6"/>
  </w:style>
  <w:style w:type="character" w:styleId="Emfaz">
    <w:name w:val="Emphasis"/>
    <w:basedOn w:val="Numatytasispastraiposriftas"/>
    <w:uiPriority w:val="20"/>
    <w:qFormat/>
    <w:locked/>
    <w:rsid w:val="004E09A6"/>
    <w:rPr>
      <w:i/>
      <w:iCs/>
    </w:rPr>
  </w:style>
  <w:style w:type="paragraph" w:customStyle="1" w:styleId="ql-align-justify">
    <w:name w:val="ql-align-justify"/>
    <w:basedOn w:val="prastasis"/>
    <w:rsid w:val="004E09A6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9749BD"/>
    <w:pPr>
      <w:spacing w:before="100" w:beforeAutospacing="1" w:after="100" w:afterAutospacing="1"/>
    </w:pPr>
    <w:rPr>
      <w:sz w:val="24"/>
      <w:szCs w:val="24"/>
    </w:rPr>
  </w:style>
  <w:style w:type="paragraph" w:customStyle="1" w:styleId="m-0">
    <w:name w:val="m-0"/>
    <w:basedOn w:val="prastasis"/>
    <w:rsid w:val="009B2A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31F1-E16E-4F59-8D12-0285D5CCB6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4</cp:revision>
  <cp:lastPrinted>2025-01-20T07:47:00Z</cp:lastPrinted>
  <dcterms:created xsi:type="dcterms:W3CDTF">2025-09-08T07:42:00Z</dcterms:created>
  <dcterms:modified xsi:type="dcterms:W3CDTF">2025-09-09T07:23:00Z</dcterms:modified>
</cp:coreProperties>
</file>